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704C7" w14:textId="77777777" w:rsidR="007154D5" w:rsidRPr="00691E22" w:rsidRDefault="00A92F40">
      <w:pPr>
        <w:pStyle w:val="Heading1"/>
        <w:rPr>
          <w:rFonts w:ascii="Arial Black" w:hAnsi="Arial Black"/>
          <w:b/>
          <w:sz w:val="28"/>
          <w:szCs w:val="28"/>
        </w:rPr>
      </w:pPr>
      <w:bookmarkStart w:id="0" w:name="_GoBack"/>
      <w:bookmarkEnd w:id="0"/>
      <w:r w:rsidRPr="00691E22">
        <w:rPr>
          <w:rFonts w:ascii="Arial Black" w:hAnsi="Arial Black"/>
          <w:b/>
          <w:sz w:val="28"/>
          <w:szCs w:val="28"/>
        </w:rPr>
        <w:t>ACTIVE READING BEHAVIORS</w:t>
      </w:r>
    </w:p>
    <w:p w14:paraId="7C6F0D66" w14:textId="77777777" w:rsidR="007154D5" w:rsidRPr="00D2797A" w:rsidRDefault="007154D5">
      <w:pPr>
        <w:rPr>
          <w:rFonts w:ascii="Calibri" w:hAnsi="Calibri"/>
          <w:sz w:val="22"/>
          <w:szCs w:val="22"/>
        </w:rPr>
      </w:pPr>
    </w:p>
    <w:p w14:paraId="4B61EA5B" w14:textId="77777777" w:rsidR="007154D5" w:rsidRPr="00D2797A" w:rsidRDefault="007154D5">
      <w:pPr>
        <w:rPr>
          <w:rFonts w:ascii="Calibri" w:hAnsi="Calibri"/>
          <w:b/>
        </w:rPr>
      </w:pPr>
      <w:r w:rsidRPr="00D2797A">
        <w:rPr>
          <w:rFonts w:ascii="Calibri" w:hAnsi="Calibri"/>
          <w:b/>
        </w:rPr>
        <w:t>Good readers do the following things while reading:</w:t>
      </w:r>
    </w:p>
    <w:p w14:paraId="066878E8" w14:textId="77777777" w:rsidR="007154D5" w:rsidRPr="00D2797A" w:rsidRDefault="007154D5">
      <w:pPr>
        <w:rPr>
          <w:rFonts w:ascii="Calibri" w:hAnsi="Calibri"/>
          <w:sz w:val="22"/>
          <w:szCs w:val="22"/>
        </w:rPr>
      </w:pPr>
    </w:p>
    <w:p w14:paraId="70F31992" w14:textId="77777777" w:rsidR="00AC52BD" w:rsidRPr="00A92F40" w:rsidRDefault="007154D5" w:rsidP="00A92F40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2797A">
        <w:rPr>
          <w:rFonts w:ascii="Calibri" w:hAnsi="Calibri"/>
          <w:b/>
          <w:bCs/>
          <w:i/>
          <w:iCs/>
          <w:sz w:val="22"/>
          <w:szCs w:val="22"/>
        </w:rPr>
        <w:t>Gather Facts:</w:t>
      </w:r>
      <w:r w:rsidRPr="00D2797A">
        <w:rPr>
          <w:rFonts w:ascii="Calibri" w:hAnsi="Calibri"/>
          <w:sz w:val="22"/>
          <w:szCs w:val="22"/>
        </w:rPr>
        <w:t xml:space="preserve">  Jot down things that are interesting and new to you</w:t>
      </w:r>
    </w:p>
    <w:p w14:paraId="3928E635" w14:textId="77777777" w:rsidR="00AC52BD" w:rsidRPr="00A92F40" w:rsidRDefault="007154D5" w:rsidP="00AC52B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2797A">
        <w:rPr>
          <w:rFonts w:ascii="Calibri" w:hAnsi="Calibri"/>
          <w:b/>
          <w:bCs/>
          <w:i/>
          <w:iCs/>
          <w:sz w:val="22"/>
          <w:szCs w:val="22"/>
        </w:rPr>
        <w:t>Make Connections:</w:t>
      </w:r>
      <w:r w:rsidRPr="00D2797A">
        <w:rPr>
          <w:rFonts w:ascii="Calibri" w:hAnsi="Calibri"/>
          <w:sz w:val="22"/>
          <w:szCs w:val="22"/>
        </w:rPr>
        <w:t xml:space="preserve">  Relate and compare things you are reading to things that you already know.</w:t>
      </w:r>
    </w:p>
    <w:p w14:paraId="711455F1" w14:textId="77777777" w:rsidR="00AC52BD" w:rsidRPr="00A92F40" w:rsidRDefault="007154D5" w:rsidP="00AC52B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2797A">
        <w:rPr>
          <w:rFonts w:ascii="Calibri" w:hAnsi="Calibri"/>
          <w:b/>
          <w:bCs/>
          <w:i/>
          <w:iCs/>
          <w:sz w:val="22"/>
          <w:szCs w:val="22"/>
        </w:rPr>
        <w:t>Ask Questions:</w:t>
      </w:r>
      <w:r w:rsidRPr="00D2797A">
        <w:rPr>
          <w:rFonts w:ascii="Calibri" w:hAnsi="Calibri"/>
          <w:sz w:val="22"/>
          <w:szCs w:val="22"/>
        </w:rPr>
        <w:t xml:space="preserve">  What about the reading is confusing to you?  What don’t you understand?  How will you find the answer?  Remember that there will ALWAYS be questions in an active reader’s mind!</w:t>
      </w:r>
    </w:p>
    <w:p w14:paraId="343204D3" w14:textId="77777777" w:rsidR="007154D5" w:rsidRPr="00D2797A" w:rsidRDefault="007154D5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2797A">
        <w:rPr>
          <w:rFonts w:ascii="Calibri" w:hAnsi="Calibri"/>
          <w:b/>
          <w:bCs/>
          <w:i/>
          <w:iCs/>
          <w:sz w:val="22"/>
          <w:szCs w:val="22"/>
        </w:rPr>
        <w:t>Give Opinions</w:t>
      </w:r>
      <w:r w:rsidRPr="00D2797A">
        <w:rPr>
          <w:rFonts w:ascii="Calibri" w:hAnsi="Calibri"/>
          <w:sz w:val="22"/>
          <w:szCs w:val="22"/>
        </w:rPr>
        <w:t>:  Make judgments about what you are reading.  Do you agree?  Do you disagree?  Like?  Dislike?  Do you support or oppose anything that you have read?  Why?</w:t>
      </w:r>
    </w:p>
    <w:p w14:paraId="7DEFD94E" w14:textId="77777777" w:rsidR="007154D5" w:rsidRPr="00D2797A" w:rsidRDefault="007154D5">
      <w:pPr>
        <w:rPr>
          <w:rFonts w:ascii="Calibri" w:hAnsi="Calibri"/>
          <w:sz w:val="22"/>
          <w:szCs w:val="22"/>
        </w:rPr>
      </w:pPr>
    </w:p>
    <w:p w14:paraId="7570908D" w14:textId="77777777" w:rsidR="007154D5" w:rsidRPr="00A92F40" w:rsidRDefault="00A92F40">
      <w:pPr>
        <w:pStyle w:val="BodyText"/>
        <w:rPr>
          <w:rFonts w:ascii="Calibri" w:hAnsi="Calibri"/>
          <w:b/>
          <w:szCs w:val="28"/>
        </w:rPr>
      </w:pPr>
      <w:r w:rsidRPr="00A92F40">
        <w:rPr>
          <w:rFonts w:ascii="Calibri" w:hAnsi="Calibri"/>
          <w:b/>
          <w:szCs w:val="28"/>
        </w:rPr>
        <w:t>Read the assigned current event article.  Make 4 comments, using</w:t>
      </w:r>
      <w:r w:rsidR="007154D5" w:rsidRPr="00A92F40">
        <w:rPr>
          <w:rFonts w:ascii="Calibri" w:hAnsi="Calibri"/>
          <w:b/>
          <w:szCs w:val="28"/>
        </w:rPr>
        <w:t xml:space="preserve"> the following sentence starters to shape your thought</w:t>
      </w:r>
      <w:r w:rsidRPr="00A92F40">
        <w:rPr>
          <w:rFonts w:ascii="Calibri" w:hAnsi="Calibri"/>
          <w:b/>
          <w:szCs w:val="28"/>
        </w:rPr>
        <w:t xml:space="preserve">s and comments while reading </w:t>
      </w:r>
      <w:r>
        <w:rPr>
          <w:rFonts w:ascii="Calibri" w:hAnsi="Calibri"/>
          <w:b/>
          <w:szCs w:val="28"/>
        </w:rPr>
        <w:t xml:space="preserve">and </w:t>
      </w:r>
      <w:r w:rsidR="007154D5" w:rsidRPr="00A92F40">
        <w:rPr>
          <w:rFonts w:ascii="Calibri" w:hAnsi="Calibri"/>
          <w:b/>
          <w:szCs w:val="28"/>
        </w:rPr>
        <w:t xml:space="preserve">participating in </w:t>
      </w:r>
      <w:r w:rsidRPr="00A92F40">
        <w:rPr>
          <w:rFonts w:ascii="Calibri" w:hAnsi="Calibri"/>
          <w:b/>
          <w:szCs w:val="28"/>
        </w:rPr>
        <w:t>small group discussion</w:t>
      </w:r>
      <w:r>
        <w:rPr>
          <w:rFonts w:ascii="Calibri" w:hAnsi="Calibri"/>
          <w:b/>
          <w:szCs w:val="28"/>
        </w:rPr>
        <w:t>s</w:t>
      </w:r>
      <w:r w:rsidR="007154D5" w:rsidRPr="00A92F40">
        <w:rPr>
          <w:rFonts w:ascii="Calibri" w:hAnsi="Calibri"/>
          <w:b/>
          <w:szCs w:val="28"/>
        </w:rPr>
        <w:t xml:space="preserve">. </w:t>
      </w:r>
      <w:r w:rsidRPr="00A92F40">
        <w:rPr>
          <w:rFonts w:ascii="Calibri" w:hAnsi="Calibri"/>
          <w:b/>
          <w:szCs w:val="28"/>
        </w:rPr>
        <w:t>Remember that good</w:t>
      </w:r>
      <w:r w:rsidR="007154D5" w:rsidRPr="00A92F40">
        <w:rPr>
          <w:rFonts w:ascii="Calibri" w:hAnsi="Calibri"/>
          <w:b/>
          <w:szCs w:val="28"/>
        </w:rPr>
        <w:t xml:space="preserve"> readers regularly consider </w:t>
      </w:r>
      <w:r w:rsidR="00691E22" w:rsidRPr="00A92F40">
        <w:rPr>
          <w:rFonts w:ascii="Calibri" w:hAnsi="Calibri"/>
          <w:b/>
          <w:szCs w:val="28"/>
        </w:rPr>
        <w:t xml:space="preserve">these kinds of questions </w:t>
      </w:r>
      <w:r w:rsidR="007154D5" w:rsidRPr="00A92F40">
        <w:rPr>
          <w:rFonts w:ascii="Calibri" w:hAnsi="Calibri"/>
          <w:b/>
          <w:szCs w:val="28"/>
        </w:rPr>
        <w:t>while reading.</w:t>
      </w:r>
    </w:p>
    <w:p w14:paraId="7A665DF1" w14:textId="77777777" w:rsidR="00AC52BD" w:rsidRPr="00D2797A" w:rsidRDefault="00AC52BD">
      <w:pPr>
        <w:pStyle w:val="BodyText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4"/>
        <w:gridCol w:w="3294"/>
        <w:gridCol w:w="3294"/>
        <w:gridCol w:w="3294"/>
      </w:tblGrid>
      <w:tr w:rsidR="00AC52BD" w:rsidRPr="00D2797A" w14:paraId="30A636E3" w14:textId="77777777" w:rsidTr="00307A4C">
        <w:tc>
          <w:tcPr>
            <w:tcW w:w="3294" w:type="dxa"/>
          </w:tcPr>
          <w:p w14:paraId="442ED5F8" w14:textId="77777777" w:rsidR="00AC52BD" w:rsidRPr="00D2797A" w:rsidRDefault="00AC52BD" w:rsidP="00AC52BD">
            <w:pPr>
              <w:rPr>
                <w:rFonts w:ascii="Calibri" w:hAnsi="Calibri"/>
              </w:rPr>
            </w:pPr>
            <w:r w:rsidRPr="00D2797A">
              <w:rPr>
                <w:rFonts w:ascii="Calibri" w:hAnsi="Calibri"/>
              </w:rPr>
              <w:t>This reminds me of…</w:t>
            </w:r>
          </w:p>
        </w:tc>
        <w:tc>
          <w:tcPr>
            <w:tcW w:w="3294" w:type="dxa"/>
          </w:tcPr>
          <w:p w14:paraId="53D368D4" w14:textId="77777777" w:rsidR="00AC52BD" w:rsidRPr="00D2797A" w:rsidRDefault="00AC52BD" w:rsidP="00AC52BD">
            <w:pPr>
              <w:rPr>
                <w:rFonts w:ascii="Calibri" w:hAnsi="Calibri"/>
              </w:rPr>
            </w:pPr>
            <w:r w:rsidRPr="00D2797A">
              <w:rPr>
                <w:rFonts w:ascii="Calibri" w:hAnsi="Calibri"/>
              </w:rPr>
              <w:t>This is similar to…</w:t>
            </w:r>
          </w:p>
        </w:tc>
        <w:tc>
          <w:tcPr>
            <w:tcW w:w="3294" w:type="dxa"/>
          </w:tcPr>
          <w:p w14:paraId="70696FC5" w14:textId="77777777" w:rsidR="00AC52BD" w:rsidRPr="00D2797A" w:rsidRDefault="00AC52BD" w:rsidP="00AC52BD">
            <w:pPr>
              <w:rPr>
                <w:rFonts w:ascii="Calibri" w:hAnsi="Calibri"/>
              </w:rPr>
            </w:pPr>
            <w:r w:rsidRPr="00D2797A">
              <w:rPr>
                <w:rFonts w:ascii="Calibri" w:hAnsi="Calibri"/>
              </w:rPr>
              <w:t>I noticed…</w:t>
            </w:r>
          </w:p>
        </w:tc>
        <w:tc>
          <w:tcPr>
            <w:tcW w:w="3294" w:type="dxa"/>
          </w:tcPr>
          <w:p w14:paraId="17F1C1D8" w14:textId="77777777" w:rsidR="00AC52BD" w:rsidRPr="00D2797A" w:rsidRDefault="00AC52BD" w:rsidP="00AC52BD">
            <w:pPr>
              <w:rPr>
                <w:rFonts w:ascii="Calibri" w:hAnsi="Calibri"/>
              </w:rPr>
            </w:pPr>
            <w:r w:rsidRPr="00D2797A">
              <w:rPr>
                <w:rFonts w:ascii="Calibri" w:hAnsi="Calibri"/>
              </w:rPr>
              <w:t>I’d like to know…</w:t>
            </w:r>
          </w:p>
        </w:tc>
      </w:tr>
      <w:tr w:rsidR="00AC52BD" w:rsidRPr="00D2797A" w14:paraId="34C94105" w14:textId="77777777" w:rsidTr="00307A4C">
        <w:tc>
          <w:tcPr>
            <w:tcW w:w="3294" w:type="dxa"/>
          </w:tcPr>
          <w:p w14:paraId="73947DE0" w14:textId="77777777" w:rsidR="00AC52BD" w:rsidRPr="00D2797A" w:rsidRDefault="00AC52BD" w:rsidP="00AC52BD">
            <w:pPr>
              <w:rPr>
                <w:rFonts w:ascii="Calibri" w:hAnsi="Calibri"/>
              </w:rPr>
            </w:pPr>
            <w:r w:rsidRPr="00D2797A">
              <w:rPr>
                <w:rFonts w:ascii="Calibri" w:hAnsi="Calibri"/>
              </w:rPr>
              <w:t>I wonder…</w:t>
            </w:r>
          </w:p>
        </w:tc>
        <w:tc>
          <w:tcPr>
            <w:tcW w:w="3294" w:type="dxa"/>
          </w:tcPr>
          <w:p w14:paraId="22ADEB4B" w14:textId="77777777" w:rsidR="00AC52BD" w:rsidRPr="00D2797A" w:rsidRDefault="00AC52BD" w:rsidP="00AC52BD">
            <w:pPr>
              <w:rPr>
                <w:rFonts w:ascii="Calibri" w:hAnsi="Calibri"/>
              </w:rPr>
            </w:pPr>
            <w:r w:rsidRPr="00D2797A">
              <w:rPr>
                <w:rFonts w:ascii="Calibri" w:hAnsi="Calibri"/>
              </w:rPr>
              <w:t>I realized…</w:t>
            </w:r>
          </w:p>
        </w:tc>
        <w:tc>
          <w:tcPr>
            <w:tcW w:w="3294" w:type="dxa"/>
          </w:tcPr>
          <w:p w14:paraId="05286BE6" w14:textId="77777777" w:rsidR="00AC52BD" w:rsidRPr="00D2797A" w:rsidRDefault="00AC52BD" w:rsidP="00AC52BD">
            <w:pPr>
              <w:rPr>
                <w:rFonts w:ascii="Calibri" w:hAnsi="Calibri"/>
              </w:rPr>
            </w:pPr>
            <w:r w:rsidRPr="00D2797A">
              <w:rPr>
                <w:rFonts w:ascii="Calibri" w:hAnsi="Calibri"/>
              </w:rPr>
              <w:t>You can relate this to…</w:t>
            </w:r>
          </w:p>
        </w:tc>
        <w:tc>
          <w:tcPr>
            <w:tcW w:w="3294" w:type="dxa"/>
          </w:tcPr>
          <w:p w14:paraId="7AC00D40" w14:textId="77777777" w:rsidR="00AC52BD" w:rsidRPr="00D2797A" w:rsidRDefault="00AC52BD" w:rsidP="00AC52BD">
            <w:pPr>
              <w:rPr>
                <w:rFonts w:ascii="Calibri" w:hAnsi="Calibri"/>
              </w:rPr>
            </w:pPr>
            <w:r w:rsidRPr="00D2797A">
              <w:rPr>
                <w:rFonts w:ascii="Calibri" w:hAnsi="Calibri"/>
              </w:rPr>
              <w:t>I’m surprised that…</w:t>
            </w:r>
          </w:p>
        </w:tc>
      </w:tr>
      <w:tr w:rsidR="00AC52BD" w:rsidRPr="00D2797A" w14:paraId="7A0280E8" w14:textId="77777777" w:rsidTr="00307A4C">
        <w:tc>
          <w:tcPr>
            <w:tcW w:w="3294" w:type="dxa"/>
          </w:tcPr>
          <w:p w14:paraId="27D01E88" w14:textId="77777777" w:rsidR="00AC52BD" w:rsidRPr="00D2797A" w:rsidRDefault="00AC52BD" w:rsidP="00AC52BD">
            <w:pPr>
              <w:rPr>
                <w:rFonts w:ascii="Calibri" w:hAnsi="Calibri"/>
              </w:rPr>
            </w:pPr>
            <w:r w:rsidRPr="00D2797A">
              <w:rPr>
                <w:rFonts w:ascii="Calibri" w:hAnsi="Calibri"/>
              </w:rPr>
              <w:t>If I were __, I would  ____</w:t>
            </w:r>
          </w:p>
        </w:tc>
        <w:tc>
          <w:tcPr>
            <w:tcW w:w="3294" w:type="dxa"/>
          </w:tcPr>
          <w:p w14:paraId="76300658" w14:textId="77777777" w:rsidR="00AC52BD" w:rsidRPr="00D2797A" w:rsidRDefault="00AC52BD" w:rsidP="00AC52BD">
            <w:pPr>
              <w:rPr>
                <w:rFonts w:ascii="Calibri" w:hAnsi="Calibri"/>
              </w:rPr>
            </w:pPr>
            <w:r w:rsidRPr="00D2797A">
              <w:rPr>
                <w:rFonts w:ascii="Calibri" w:hAnsi="Calibri"/>
              </w:rPr>
              <w:t>If _____ then __________</w:t>
            </w:r>
          </w:p>
        </w:tc>
        <w:tc>
          <w:tcPr>
            <w:tcW w:w="3294" w:type="dxa"/>
          </w:tcPr>
          <w:p w14:paraId="2B704DFD" w14:textId="77777777" w:rsidR="00AC52BD" w:rsidRPr="00D2797A" w:rsidRDefault="00AC52BD" w:rsidP="00AC52BD">
            <w:pPr>
              <w:rPr>
                <w:rFonts w:ascii="Calibri" w:hAnsi="Calibri"/>
              </w:rPr>
            </w:pPr>
            <w:r w:rsidRPr="00D2797A">
              <w:rPr>
                <w:rFonts w:ascii="Calibri" w:hAnsi="Calibri"/>
              </w:rPr>
              <w:t>Although it seems…</w:t>
            </w:r>
          </w:p>
        </w:tc>
        <w:tc>
          <w:tcPr>
            <w:tcW w:w="3294" w:type="dxa"/>
          </w:tcPr>
          <w:p w14:paraId="0E6CABAB" w14:textId="77777777" w:rsidR="00AC52BD" w:rsidRPr="00D2797A" w:rsidRDefault="00AC52BD" w:rsidP="00691E22">
            <w:pPr>
              <w:rPr>
                <w:rFonts w:ascii="Calibri" w:hAnsi="Calibri"/>
              </w:rPr>
            </w:pPr>
            <w:r w:rsidRPr="00D2797A">
              <w:rPr>
                <w:rFonts w:ascii="Calibri" w:hAnsi="Calibri"/>
              </w:rPr>
              <w:t>I’m not sure that…</w:t>
            </w:r>
          </w:p>
        </w:tc>
      </w:tr>
    </w:tbl>
    <w:p w14:paraId="4D18308D" w14:textId="77777777" w:rsidR="00691E22" w:rsidRPr="00D2797A" w:rsidRDefault="00691E22">
      <w:pPr>
        <w:rPr>
          <w:rFonts w:ascii="Calibri" w:hAnsi="Calibri"/>
          <w:sz w:val="22"/>
          <w:szCs w:val="22"/>
        </w:rPr>
      </w:pPr>
    </w:p>
    <w:p w14:paraId="340B7D32" w14:textId="77777777" w:rsidR="00AC52BD" w:rsidRPr="00A92F40" w:rsidRDefault="00A92F40">
      <w:pPr>
        <w:rPr>
          <w:rFonts w:ascii="Arial Black" w:hAnsi="Arial Black"/>
          <w:b/>
          <w:sz w:val="28"/>
          <w:szCs w:val="28"/>
        </w:rPr>
      </w:pPr>
      <w:r w:rsidRPr="00A92F40">
        <w:rPr>
          <w:rFonts w:ascii="Arial Black" w:hAnsi="Arial Black"/>
          <w:b/>
          <w:sz w:val="28"/>
          <w:szCs w:val="28"/>
        </w:rPr>
        <w:t>DO YOU MEASURE UP?</w:t>
      </w:r>
    </w:p>
    <w:p w14:paraId="37CEB730" w14:textId="77777777" w:rsidR="00AC52BD" w:rsidRPr="00D2797A" w:rsidRDefault="00AC52BD">
      <w:pPr>
        <w:rPr>
          <w:rFonts w:ascii="Calibri" w:hAnsi="Calibri"/>
        </w:rPr>
      </w:pPr>
      <w:r w:rsidRPr="00D2797A">
        <w:rPr>
          <w:rFonts w:ascii="Calibri" w:hAnsi="Calibri"/>
        </w:rPr>
        <w:t>Interested in seeing how you’ll be graded for your active reading comments?  Then check out this rubric:</w:t>
      </w:r>
    </w:p>
    <w:p w14:paraId="105685FB" w14:textId="77777777" w:rsidR="007154D5" w:rsidRPr="00D2797A" w:rsidRDefault="007154D5">
      <w:pPr>
        <w:rPr>
          <w:rFonts w:ascii="Calibri" w:hAnsi="Calibri"/>
        </w:rPr>
      </w:pPr>
    </w:p>
    <w:tbl>
      <w:tblPr>
        <w:tblW w:w="144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3060"/>
        <w:gridCol w:w="3330"/>
        <w:gridCol w:w="3060"/>
        <w:gridCol w:w="3060"/>
      </w:tblGrid>
      <w:tr w:rsidR="00AC52BD" w:rsidRPr="00D2797A" w14:paraId="7BEFD48F" w14:textId="77777777" w:rsidTr="00AC52BD">
        <w:trPr>
          <w:trHeight w:val="188"/>
        </w:trPr>
        <w:tc>
          <w:tcPr>
            <w:tcW w:w="1890" w:type="dxa"/>
          </w:tcPr>
          <w:p w14:paraId="625EA3FB" w14:textId="77777777" w:rsidR="00AC52BD" w:rsidRPr="00D2797A" w:rsidRDefault="00AC52BD" w:rsidP="007154D5">
            <w:pPr>
              <w:jc w:val="center"/>
              <w:rPr>
                <w:rFonts w:ascii="Calibri" w:hAnsi="Calibri"/>
                <w:b/>
              </w:rPr>
            </w:pPr>
            <w:r w:rsidRPr="00D2797A">
              <w:rPr>
                <w:rFonts w:ascii="Calibri" w:hAnsi="Calibri"/>
                <w:b/>
              </w:rPr>
              <w:t>Criteria</w:t>
            </w:r>
          </w:p>
        </w:tc>
        <w:tc>
          <w:tcPr>
            <w:tcW w:w="3060" w:type="dxa"/>
          </w:tcPr>
          <w:p w14:paraId="63C5BE0E" w14:textId="77777777" w:rsidR="00AC52BD" w:rsidRPr="00D2797A" w:rsidRDefault="00AC52BD" w:rsidP="007154D5">
            <w:pPr>
              <w:jc w:val="center"/>
              <w:rPr>
                <w:rFonts w:ascii="Calibri" w:hAnsi="Calibri"/>
                <w:b/>
              </w:rPr>
            </w:pPr>
            <w:r w:rsidRPr="00D2797A">
              <w:rPr>
                <w:rFonts w:ascii="Calibri" w:hAnsi="Calibri"/>
                <w:b/>
              </w:rPr>
              <w:t>Needs Improvement</w:t>
            </w:r>
          </w:p>
        </w:tc>
        <w:tc>
          <w:tcPr>
            <w:tcW w:w="3330" w:type="dxa"/>
          </w:tcPr>
          <w:p w14:paraId="3419122D" w14:textId="77777777" w:rsidR="00AC52BD" w:rsidRPr="00D2797A" w:rsidRDefault="00AC52BD" w:rsidP="007154D5">
            <w:pPr>
              <w:jc w:val="center"/>
              <w:rPr>
                <w:rFonts w:ascii="Calibri" w:hAnsi="Calibri"/>
                <w:b/>
              </w:rPr>
            </w:pPr>
            <w:r w:rsidRPr="00D2797A">
              <w:rPr>
                <w:rFonts w:ascii="Calibri" w:hAnsi="Calibri"/>
                <w:b/>
              </w:rPr>
              <w:t>You’re getting there</w:t>
            </w:r>
          </w:p>
        </w:tc>
        <w:tc>
          <w:tcPr>
            <w:tcW w:w="3060" w:type="dxa"/>
          </w:tcPr>
          <w:p w14:paraId="40DB2230" w14:textId="77777777" w:rsidR="00AC52BD" w:rsidRPr="00D2797A" w:rsidRDefault="00AC52BD" w:rsidP="007154D5">
            <w:pPr>
              <w:jc w:val="center"/>
              <w:rPr>
                <w:rFonts w:ascii="Calibri" w:hAnsi="Calibri"/>
                <w:b/>
              </w:rPr>
            </w:pPr>
            <w:r w:rsidRPr="00D2797A">
              <w:rPr>
                <w:rFonts w:ascii="Calibri" w:hAnsi="Calibri"/>
                <w:b/>
              </w:rPr>
              <w:t>Rock Solid</w:t>
            </w:r>
          </w:p>
        </w:tc>
        <w:tc>
          <w:tcPr>
            <w:tcW w:w="3060" w:type="dxa"/>
          </w:tcPr>
          <w:p w14:paraId="31BB5D1C" w14:textId="77777777" w:rsidR="00AC52BD" w:rsidRPr="00D2797A" w:rsidRDefault="00AC52BD" w:rsidP="007154D5">
            <w:pPr>
              <w:jc w:val="center"/>
              <w:rPr>
                <w:rFonts w:ascii="Calibri" w:hAnsi="Calibri"/>
                <w:b/>
              </w:rPr>
            </w:pPr>
            <w:r w:rsidRPr="00D2797A">
              <w:rPr>
                <w:rFonts w:ascii="Calibri" w:hAnsi="Calibri"/>
                <w:b/>
              </w:rPr>
              <w:t xml:space="preserve">Reading  </w:t>
            </w:r>
            <w:proofErr w:type="spellStart"/>
            <w:r w:rsidRPr="00D2797A">
              <w:rPr>
                <w:rFonts w:ascii="Calibri" w:hAnsi="Calibri"/>
                <w:b/>
              </w:rPr>
              <w:t>Rockstar</w:t>
            </w:r>
            <w:proofErr w:type="spellEnd"/>
          </w:p>
        </w:tc>
      </w:tr>
      <w:tr w:rsidR="00AC52BD" w:rsidRPr="00D2797A" w14:paraId="0CC76C09" w14:textId="77777777" w:rsidTr="007154D5">
        <w:trPr>
          <w:trHeight w:val="197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668A" w14:textId="77777777" w:rsidR="00AC52BD" w:rsidRPr="00D2797A" w:rsidRDefault="00AC52BD" w:rsidP="007154D5">
            <w:pPr>
              <w:jc w:val="center"/>
              <w:rPr>
                <w:rFonts w:ascii="Calibri" w:hAnsi="Calibri"/>
                <w:b/>
              </w:rPr>
            </w:pPr>
            <w:r w:rsidRPr="00D2797A">
              <w:rPr>
                <w:rFonts w:ascii="Calibri" w:hAnsi="Calibri"/>
                <w:b/>
              </w:rPr>
              <w:t>Active Reading Comment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87E3" w14:textId="77777777" w:rsidR="00AC52BD" w:rsidRPr="00D2797A" w:rsidRDefault="00AC52BD" w:rsidP="007154D5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D2797A">
              <w:rPr>
                <w:rFonts w:ascii="Calibri" w:hAnsi="Calibri"/>
                <w:sz w:val="22"/>
                <w:szCs w:val="22"/>
              </w:rPr>
              <w:t xml:space="preserve">Comments seem to be completely out of place—unconnected to the student and/or to the selection.  </w:t>
            </w:r>
          </w:p>
          <w:p w14:paraId="41F5DB71" w14:textId="77777777" w:rsidR="00AC52BD" w:rsidRPr="00D2797A" w:rsidRDefault="00AC52BD" w:rsidP="007154D5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D2797A">
              <w:rPr>
                <w:rFonts w:ascii="Calibri" w:hAnsi="Calibri"/>
                <w:sz w:val="22"/>
                <w:szCs w:val="22"/>
              </w:rPr>
              <w:t xml:space="preserve">Little evidence suggests that the student has thought deeply before commenting. 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5EF0" w14:textId="77777777" w:rsidR="00AC52BD" w:rsidRPr="00D2797A" w:rsidRDefault="00AC52BD" w:rsidP="007154D5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D2797A">
              <w:rPr>
                <w:rFonts w:ascii="Calibri" w:hAnsi="Calibri"/>
                <w:sz w:val="22"/>
                <w:szCs w:val="22"/>
              </w:rPr>
              <w:t xml:space="preserve">While comments demonstrate some obvious connection to the student and/or the selection, they demonstrate simple thinking.  </w:t>
            </w:r>
          </w:p>
          <w:p w14:paraId="1376CB59" w14:textId="77777777" w:rsidR="00AC52BD" w:rsidRPr="00D2797A" w:rsidRDefault="00AC52BD" w:rsidP="007154D5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D2797A">
              <w:rPr>
                <w:rFonts w:ascii="Calibri" w:hAnsi="Calibri"/>
                <w:sz w:val="22"/>
                <w:szCs w:val="22"/>
              </w:rPr>
              <w:t xml:space="preserve">Reader is not convinced that the student has thought deeply about the text before commenting.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C49C" w14:textId="77777777" w:rsidR="00AC52BD" w:rsidRPr="00D2797A" w:rsidRDefault="00AC52BD" w:rsidP="007154D5">
            <w:pPr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D2797A">
              <w:rPr>
                <w:rFonts w:ascii="Calibri" w:hAnsi="Calibri"/>
                <w:sz w:val="22"/>
                <w:szCs w:val="22"/>
              </w:rPr>
              <w:t>All comments are clearly connected to the student and/or the selection.</w:t>
            </w:r>
          </w:p>
          <w:p w14:paraId="417A861D" w14:textId="77777777" w:rsidR="00AC52BD" w:rsidRPr="00D2797A" w:rsidRDefault="00AC52BD" w:rsidP="007154D5">
            <w:pPr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D2797A">
              <w:rPr>
                <w:rFonts w:ascii="Calibri" w:hAnsi="Calibri"/>
                <w:sz w:val="22"/>
                <w:szCs w:val="22"/>
              </w:rPr>
              <w:t xml:space="preserve">Comments provide evidence that the student has considered the text carefully and thought deeply about the connections between the text and their own lives.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E087" w14:textId="77777777" w:rsidR="00AC52BD" w:rsidRPr="00D2797A" w:rsidRDefault="00AC52BD" w:rsidP="007154D5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D2797A">
              <w:rPr>
                <w:rFonts w:ascii="Calibri" w:hAnsi="Calibri"/>
                <w:sz w:val="22"/>
                <w:szCs w:val="22"/>
              </w:rPr>
              <w:t xml:space="preserve">All comments are clearly connected to the student and or the selection.  </w:t>
            </w:r>
          </w:p>
          <w:p w14:paraId="55ED544A" w14:textId="77777777" w:rsidR="00AC52BD" w:rsidRPr="00D2797A" w:rsidRDefault="00AC52BD" w:rsidP="007154D5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D2797A">
              <w:rPr>
                <w:rFonts w:ascii="Calibri" w:hAnsi="Calibri"/>
                <w:sz w:val="22"/>
                <w:szCs w:val="22"/>
              </w:rPr>
              <w:t>Comments are challenging and interesting to the reader—encouraging further study of the selection.</w:t>
            </w:r>
          </w:p>
        </w:tc>
      </w:tr>
    </w:tbl>
    <w:p w14:paraId="59883DE1" w14:textId="77777777" w:rsidR="005F5CB7" w:rsidRDefault="005F5CB7" w:rsidP="005F5CB7">
      <w:pPr>
        <w:rPr>
          <w:rFonts w:ascii="Calibri" w:hAnsi="Calibri"/>
          <w:sz w:val="22"/>
          <w:szCs w:val="22"/>
        </w:rPr>
      </w:pPr>
    </w:p>
    <w:p w14:paraId="5ABACBCF" w14:textId="77777777" w:rsidR="00AC52BD" w:rsidRDefault="005F5CB7" w:rsidP="005F5CB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Adapted from </w:t>
      </w:r>
      <w:hyperlink r:id="rId5" w:history="1">
        <w:r w:rsidRPr="000079C5">
          <w:rPr>
            <w:rStyle w:val="Hyperlink"/>
            <w:rFonts w:ascii="Calibri" w:hAnsi="Calibri"/>
            <w:sz w:val="22"/>
            <w:szCs w:val="22"/>
          </w:rPr>
          <w:t>http://www.teachingquality.org/content/blogs/bill-ferriter/teaching-nonfiction-reading-skills-science-classroom-activity</w:t>
        </w:r>
      </w:hyperlink>
    </w:p>
    <w:p w14:paraId="4B29B3B1" w14:textId="77777777" w:rsidR="005F5CB7" w:rsidRPr="00D2797A" w:rsidRDefault="005F5CB7" w:rsidP="005F5CB7">
      <w:pPr>
        <w:rPr>
          <w:rFonts w:ascii="Calibri" w:hAnsi="Calibri"/>
          <w:sz w:val="22"/>
          <w:szCs w:val="22"/>
        </w:rPr>
      </w:pPr>
    </w:p>
    <w:sectPr w:rsidR="005F5CB7" w:rsidRPr="00D2797A" w:rsidSect="00691E22">
      <w:pgSz w:w="15840" w:h="12240" w:orient="landscape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Light">
    <w:charset w:val="00"/>
    <w:family w:val="auto"/>
    <w:pitch w:val="variable"/>
    <w:sig w:usb0="80000067" w:usb1="00000000" w:usb2="00000000" w:usb3="00000000" w:csb0="0000011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CB8AD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A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1B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1C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1D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4A372C8"/>
    <w:multiLevelType w:val="hybridMultilevel"/>
    <w:tmpl w:val="62443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FE6A3F"/>
    <w:multiLevelType w:val="hybridMultilevel"/>
    <w:tmpl w:val="9ACAE2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2BD"/>
    <w:rsid w:val="00307A4C"/>
    <w:rsid w:val="005F5CB7"/>
    <w:rsid w:val="00691E22"/>
    <w:rsid w:val="007154D5"/>
    <w:rsid w:val="00880C72"/>
    <w:rsid w:val="00A02CFB"/>
    <w:rsid w:val="00A92F40"/>
    <w:rsid w:val="00AC52BD"/>
    <w:rsid w:val="00AE1ED9"/>
    <w:rsid w:val="00D2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228F2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pperplate Gothic Light" w:hAnsi="Copperplate Gothic Light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Garamond" w:hAnsi="Garamond"/>
      <w:sz w:val="28"/>
    </w:rPr>
  </w:style>
  <w:style w:type="table" w:styleId="TableGrid">
    <w:name w:val="Table Grid"/>
    <w:basedOn w:val="TableNormal"/>
    <w:rsid w:val="00AC52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C52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F5C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eachingquality.org/content/blogs/bill-ferriter/teaching-nonfiction-reading-skills-science-classroom-activity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wferriter</dc:creator>
  <cp:keywords/>
  <dc:description/>
  <cp:lastModifiedBy>Diane Griffin</cp:lastModifiedBy>
  <cp:revision>2</cp:revision>
  <cp:lastPrinted>2016-04-13T01:09:00Z</cp:lastPrinted>
  <dcterms:created xsi:type="dcterms:W3CDTF">2016-04-18T12:05:00Z</dcterms:created>
  <dcterms:modified xsi:type="dcterms:W3CDTF">2016-04-18T12:05:00Z</dcterms:modified>
</cp:coreProperties>
</file>